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Санкт-Петербургского УФАС России от 05.07.2022 по делу N 44-2021/22</w:t>
      </w:r>
    </w:p>
    <w:p>
      <w:pPr>
        <w:pStyle w:val="0"/>
        <w:jc w:val="both"/>
      </w:pPr>
      <w:r>
        <w:rPr>
          <w:sz w:val="20"/>
        </w:rPr>
        <w:t xml:space="preserve">Нарушение: пп. а) п. 1 ч. 5 ст. 49 Закона о контрактной системе.</w:t>
      </w:r>
    </w:p>
    <w:p>
      <w:pPr>
        <w:pStyle w:val="0"/>
        <w:jc w:val="both"/>
      </w:pPr>
      <w:r>
        <w:rPr>
          <w:sz w:val="20"/>
        </w:rPr>
        <w:t xml:space="preserve">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09.07.2022.</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САНКТ-ПЕТЕРБУРГУ</w:t>
      </w:r>
    </w:p>
    <w:p>
      <w:pPr>
        <w:pStyle w:val="2"/>
        <w:jc w:val="center"/>
      </w:pPr>
      <w:r>
        <w:rPr>
          <w:sz w:val="20"/>
        </w:rPr>
      </w:r>
    </w:p>
    <w:p>
      <w:pPr>
        <w:pStyle w:val="2"/>
        <w:jc w:val="center"/>
      </w:pPr>
      <w:r>
        <w:rPr>
          <w:sz w:val="20"/>
        </w:rPr>
        <w:t xml:space="preserve">РЕШЕНИЕ</w:t>
      </w:r>
    </w:p>
    <w:p>
      <w:pPr>
        <w:pStyle w:val="2"/>
        <w:jc w:val="center"/>
      </w:pPr>
      <w:r>
        <w:rPr>
          <w:sz w:val="20"/>
        </w:rPr>
        <w:t xml:space="preserve">от 5 июля 2022 г. по делу N 44-2021/22</w:t>
      </w:r>
    </w:p>
    <w:p>
      <w:pPr>
        <w:pStyle w:val="2"/>
        <w:jc w:val="center"/>
      </w:pPr>
      <w:r>
        <w:rPr>
          <w:sz w:val="20"/>
        </w:rPr>
      </w:r>
    </w:p>
    <w:p>
      <w:pPr>
        <w:pStyle w:val="2"/>
        <w:jc w:val="center"/>
      </w:pPr>
      <w:r>
        <w:rPr>
          <w:sz w:val="20"/>
        </w:rPr>
        <w:t xml:space="preserve">О НАРУШЕНИИ ЗАКОНОДАТЕЛЬСТВА О КОНТРАКТНОЙ СИСТЕМЕ</w:t>
      </w:r>
    </w:p>
    <w:p>
      <w:pPr>
        <w:pStyle w:val="0"/>
        <w:ind w:firstLine="540"/>
        <w:jc w:val="both"/>
      </w:pPr>
      <w:r>
        <w:rPr>
          <w:sz w:val="20"/>
        </w:rPr>
      </w:r>
    </w:p>
    <w:p>
      <w:pPr>
        <w:pStyle w:val="0"/>
        <w:ind w:firstLine="540"/>
        <w:jc w:val="both"/>
      </w:pPr>
      <w:r>
        <w:rPr>
          <w:sz w:val="20"/>
        </w:rPr>
        <w:t xml:space="preserve">Комиссия Санкт-Петербургского УФАС России по контролю закупок (далее - Комиссия УФАС) в составе:</w:t>
      </w:r>
    </w:p>
    <w:p>
      <w:pPr>
        <w:pStyle w:val="0"/>
        <w:spacing w:before="200" w:line-rule="auto"/>
        <w:ind w:firstLine="540"/>
        <w:jc w:val="both"/>
      </w:pPr>
      <w:r>
        <w:rPr>
          <w:sz w:val="20"/>
        </w:rPr>
        <w:t xml:space="preserve">в отсутствие представителей ГБУ ДППО центр повышения квалификации специалистов "И" Адмиралтейского района Санкт-Петербурга (далее - Заказчик) уведомленных о заседании Комиссии УФАС; СПб ГБУЗ "П" (далее - Заявитель):,</w:t>
      </w:r>
    </w:p>
    <w:p>
      <w:pPr>
        <w:pStyle w:val="0"/>
        <w:spacing w:before="200" w:line-rule="auto"/>
        <w:ind w:firstLine="540"/>
        <w:jc w:val="both"/>
      </w:pPr>
      <w:r>
        <w:rPr>
          <w:sz w:val="20"/>
        </w:rPr>
        <w:t xml:space="preserve">рассмотрев посредством системы видеоконференцсвязи жалобу Заявителя (вх. N 17123-ЭП/22 от 29.06.2022) на действия Заказчика при определении поставщика (подрядчика, исполнителя) путем проведения электронного аукциона на оказание услуг по психиатрическому освидетельствованию работников (извещение N 0372200126122000012) (далее - аукцион), а также в результате проведения внеплановой проверки на основании </w:t>
      </w:r>
      <w:r>
        <w:rPr>
          <w:sz w:val="20"/>
        </w:rPr>
        <w:t xml:space="preserve">п. 1 ч. 15 ст. 99</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Административного </w:t>
      </w:r>
      <w:r>
        <w:rPr>
          <w:sz w:val="20"/>
        </w:rPr>
        <w:t xml:space="preserve">регламента</w:t>
      </w:r>
      <w:r>
        <w:rPr>
          <w:sz w:val="20"/>
        </w:rPr>
        <w:t xml:space="preserve">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утвержденного приказом ФАС России от 19.11.2014 N 727/14 (далее - Административный регламент),</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Извещение об осуществлении закупки размещено 14.06.2022 на официальном сайте единой информационной системы </w:t>
      </w:r>
      <w:r>
        <w:rPr>
          <w:sz w:val="20"/>
        </w:rPr>
        <w:t xml:space="preserve">www.zakupki.gov.ru</w:t>
      </w:r>
      <w:r>
        <w:rPr>
          <w:sz w:val="20"/>
        </w:rPr>
        <w:t xml:space="preserve">, номер извещения N 0372200126122000012.</w:t>
      </w:r>
    </w:p>
    <w:p>
      <w:pPr>
        <w:pStyle w:val="0"/>
        <w:spacing w:before="200" w:line-rule="auto"/>
        <w:ind w:firstLine="540"/>
        <w:jc w:val="both"/>
      </w:pPr>
      <w:r>
        <w:rPr>
          <w:sz w:val="20"/>
        </w:rPr>
        <w:t xml:space="preserve">Начальная (максимальная) цена контракта - 33 300, 00 рублей.</w:t>
      </w:r>
    </w:p>
    <w:p>
      <w:pPr>
        <w:pStyle w:val="0"/>
        <w:spacing w:before="200" w:line-rule="auto"/>
        <w:ind w:firstLine="540"/>
        <w:jc w:val="both"/>
      </w:pPr>
      <w:r>
        <w:rPr>
          <w:sz w:val="20"/>
        </w:rPr>
        <w:t xml:space="preserve">СПб ГБУЗ "П" указывает в жалобе на неправомерные действия аукционной комиссии Заказчика, нарушающие, по мнению Заявителя, требования </w:t>
      </w:r>
      <w:r>
        <w:rPr>
          <w:sz w:val="20"/>
        </w:rPr>
        <w:t xml:space="preserve">Закона</w:t>
      </w:r>
      <w:r>
        <w:rPr>
          <w:sz w:val="20"/>
        </w:rPr>
        <w:t xml:space="preserve"> о контрактной системе и выразившиеся в неправомерном признании его заявки несоответствующей требованиям извещения об осуществлении закупки.</w:t>
      </w:r>
    </w:p>
    <w:p>
      <w:pPr>
        <w:pStyle w:val="0"/>
        <w:spacing w:before="200" w:line-rule="auto"/>
        <w:ind w:firstLine="540"/>
        <w:jc w:val="both"/>
      </w:pPr>
      <w:r>
        <w:rPr>
          <w:sz w:val="20"/>
        </w:rPr>
        <w:t xml:space="preserve">Представители Заказчика на заседании Комиссии УФАС с доводами Заявителя согласились.</w:t>
      </w:r>
    </w:p>
    <w:p>
      <w:pPr>
        <w:pStyle w:val="0"/>
        <w:spacing w:before="200" w:line-rule="auto"/>
        <w:ind w:firstLine="540"/>
        <w:jc w:val="both"/>
      </w:pPr>
      <w:r>
        <w:rPr>
          <w:sz w:val="20"/>
        </w:rPr>
        <w:t xml:space="preserve">Информация, изложенная в жалобе, пояснения представителей сторон, имеющиеся документы подтверждают следующие обстоятельства.</w:t>
      </w:r>
    </w:p>
    <w:p>
      <w:pPr>
        <w:pStyle w:val="0"/>
        <w:spacing w:before="200" w:line-rule="auto"/>
        <w:ind w:firstLine="540"/>
        <w:jc w:val="both"/>
      </w:pPr>
      <w:r>
        <w:rPr>
          <w:sz w:val="20"/>
        </w:rPr>
        <w:t xml:space="preserve">В силу </w:t>
      </w:r>
      <w:r>
        <w:rPr>
          <w:sz w:val="20"/>
        </w:rPr>
        <w:t xml:space="preserve">п. 5 ч. 1 ст.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наименование объекта закупки, информацию (при наличии), предусмотренную правилами использования каталога товаров, работ, услуг для обеспечения государственных и муниципальных нужд, установленными в соответствии с </w:t>
      </w:r>
      <w:r>
        <w:rPr>
          <w:sz w:val="20"/>
        </w:rPr>
        <w:t xml:space="preserve">ч. 6 ст. 23</w:t>
      </w:r>
      <w:r>
        <w:rPr>
          <w:sz w:val="20"/>
        </w:rPr>
        <w:t xml:space="preserve"> Закона о контрактной системе,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pPr>
        <w:pStyle w:val="0"/>
        <w:spacing w:before="200" w:line-rule="auto"/>
        <w:ind w:firstLine="540"/>
        <w:jc w:val="both"/>
      </w:pPr>
      <w:r>
        <w:rPr>
          <w:sz w:val="20"/>
        </w:rPr>
        <w:t xml:space="preserve">В соответствии с </w:t>
      </w:r>
      <w:r>
        <w:rPr>
          <w:sz w:val="20"/>
        </w:rPr>
        <w:t xml:space="preserve">п. 12 ч. 1 ст.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требования, предъявляемые к участникам закупки в соответствии с </w:t>
      </w:r>
      <w:r>
        <w:rPr>
          <w:sz w:val="20"/>
        </w:rPr>
        <w:t xml:space="preserve">п. 1 ч. 1 ст. 31</w:t>
      </w:r>
      <w:r>
        <w:rPr>
          <w:sz w:val="20"/>
        </w:rPr>
        <w:t xml:space="preserve"> Закона о контрактной системе, требования, предъявляемые к участникам закупки в соответствии с </w:t>
      </w:r>
      <w:r>
        <w:rPr>
          <w:sz w:val="20"/>
        </w:rPr>
        <w:t xml:space="preserve">чч. 2</w:t>
      </w:r>
      <w:r>
        <w:rPr>
          <w:sz w:val="20"/>
        </w:rPr>
        <w:t xml:space="preserve"> и </w:t>
      </w:r>
      <w:r>
        <w:rPr>
          <w:sz w:val="20"/>
        </w:rPr>
        <w:t xml:space="preserve">2.1 (при наличии таких требований) ст. 31</w:t>
      </w:r>
      <w:r>
        <w:rPr>
          <w:sz w:val="20"/>
        </w:rPr>
        <w:t xml:space="preserve"> Закона о контрактной системе,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w:t>
      </w:r>
      <w:r>
        <w:rPr>
          <w:sz w:val="20"/>
        </w:rPr>
        <w:t xml:space="preserve">ч. 1.1 ст. 31</w:t>
      </w:r>
      <w:r>
        <w:rPr>
          <w:sz w:val="20"/>
        </w:rPr>
        <w:t xml:space="preserve"> Закона о контрактной системе (при наличии такого требования).</w:t>
      </w:r>
    </w:p>
    <w:p>
      <w:pPr>
        <w:pStyle w:val="0"/>
        <w:spacing w:before="200" w:line-rule="auto"/>
        <w:ind w:firstLine="540"/>
        <w:jc w:val="both"/>
      </w:pPr>
      <w:r>
        <w:rPr>
          <w:sz w:val="20"/>
        </w:rPr>
        <w:t xml:space="preserve">В силу </w:t>
      </w:r>
      <w:r>
        <w:rPr>
          <w:sz w:val="20"/>
        </w:rPr>
        <w:t xml:space="preserve">ч. 1 ст. 49</w:t>
      </w:r>
      <w:r>
        <w:rPr>
          <w:sz w:val="20"/>
        </w:rPr>
        <w:t xml:space="preserve"> Закона о контрактной системе электронный аукцион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r>
        <w:rPr>
          <w:sz w:val="20"/>
        </w:rPr>
        <w:t xml:space="preserve">пп. "м"</w:t>
      </w:r>
      <w:r>
        <w:rPr>
          <w:sz w:val="20"/>
        </w:rPr>
        <w:t xml:space="preserve"> - </w:t>
      </w:r>
      <w:r>
        <w:rPr>
          <w:sz w:val="20"/>
        </w:rPr>
        <w:t xml:space="preserve">"п"</w:t>
      </w:r>
      <w:r>
        <w:rPr>
          <w:sz w:val="20"/>
        </w:rPr>
        <w:t xml:space="preserve"> п. 1, пп. "а" - "в" </w:t>
      </w:r>
      <w:r>
        <w:rPr>
          <w:sz w:val="20"/>
        </w:rPr>
        <w:t xml:space="preserve">п. 2</w:t>
      </w:r>
      <w:r>
        <w:rPr>
          <w:sz w:val="20"/>
        </w:rPr>
        <w:t xml:space="preserve">, </w:t>
      </w:r>
      <w:r>
        <w:rPr>
          <w:sz w:val="20"/>
        </w:rPr>
        <w:t xml:space="preserve">п. 5 ч. 1 ст. 43</w:t>
      </w:r>
      <w:r>
        <w:rPr>
          <w:sz w:val="20"/>
        </w:rPr>
        <w:t xml:space="preserve"> Закона о контрактной системе. Заявка также может содержать информацию и документы, предусмотренные </w:t>
      </w:r>
      <w:r>
        <w:rPr>
          <w:sz w:val="20"/>
        </w:rPr>
        <w:t xml:space="preserve">пп. "д" п. 2 ч. 1 ст. 43</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ч. 1.1 ст.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 в том числе информации о лицах, указанных в </w:t>
      </w:r>
      <w:r>
        <w:rPr>
          <w:sz w:val="20"/>
        </w:rPr>
        <w:t xml:space="preserve">п. 2</w:t>
      </w:r>
      <w:r>
        <w:rPr>
          <w:sz w:val="20"/>
        </w:rPr>
        <w:t xml:space="preserve"> и </w:t>
      </w:r>
      <w:r>
        <w:rPr>
          <w:sz w:val="20"/>
        </w:rPr>
        <w:t xml:space="preserve">3 ч. 3 ст. 104</w:t>
      </w:r>
      <w:r>
        <w:rPr>
          <w:sz w:val="20"/>
        </w:rPr>
        <w:t xml:space="preserve"> Закона о контрактной системе.</w:t>
      </w:r>
    </w:p>
    <w:p>
      <w:pPr>
        <w:pStyle w:val="0"/>
        <w:spacing w:before="200" w:line-rule="auto"/>
        <w:ind w:firstLine="540"/>
        <w:jc w:val="both"/>
      </w:pPr>
      <w:r>
        <w:rPr>
          <w:sz w:val="20"/>
        </w:rPr>
        <w:t xml:space="preserve">В силу </w:t>
      </w:r>
      <w:r>
        <w:rPr>
          <w:sz w:val="20"/>
        </w:rPr>
        <w:t xml:space="preserve">пп. а) п. 1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r>
        <w:rPr>
          <w:sz w:val="20"/>
        </w:rPr>
        <w:t xml:space="preserve">пунктом 4 части 4 настоящей статьи</w:t>
      </w:r>
      <w:r>
        <w:rPr>
          <w:sz w:val="20"/>
        </w:rPr>
        <w:t xml:space="preserve">,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r>
        <w:rPr>
          <w:sz w:val="20"/>
        </w:rPr>
        <w:t xml:space="preserve">пп. 1</w:t>
      </w:r>
      <w:r>
        <w:rPr>
          <w:sz w:val="20"/>
        </w:rPr>
        <w:t xml:space="preserve"> - </w:t>
      </w:r>
      <w:r>
        <w:rPr>
          <w:sz w:val="20"/>
        </w:rPr>
        <w:t xml:space="preserve">8 ч. 12 ст. 48</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п. 2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r>
        <w:rPr>
          <w:sz w:val="20"/>
        </w:rPr>
        <w:t xml:space="preserve">пп. 1</w:t>
      </w:r>
      <w:r>
        <w:rPr>
          <w:sz w:val="20"/>
        </w:rPr>
        <w:t xml:space="preserve">, </w:t>
      </w:r>
      <w:r>
        <w:rPr>
          <w:sz w:val="20"/>
        </w:rPr>
        <w:t xml:space="preserve">2</w:t>
      </w:r>
      <w:r>
        <w:rPr>
          <w:sz w:val="20"/>
        </w:rPr>
        <w:t xml:space="preserve">, </w:t>
      </w:r>
      <w:r>
        <w:rPr>
          <w:sz w:val="20"/>
        </w:rPr>
        <w:t xml:space="preserve">4</w:t>
      </w:r>
      <w:r>
        <w:rPr>
          <w:sz w:val="20"/>
        </w:rPr>
        <w:t xml:space="preserve"> - </w:t>
      </w:r>
      <w:r>
        <w:rPr>
          <w:sz w:val="20"/>
        </w:rPr>
        <w:t xml:space="preserve">7 ч. 17 ст. 48</w:t>
      </w:r>
      <w:r>
        <w:rPr>
          <w:sz w:val="20"/>
        </w:rPr>
        <w:t xml:space="preserve"> Закона о контрактной системе.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pPr>
        <w:pStyle w:val="0"/>
        <w:spacing w:before="200" w:line-rule="auto"/>
        <w:ind w:firstLine="540"/>
        <w:jc w:val="both"/>
      </w:pPr>
      <w:r>
        <w:rPr>
          <w:sz w:val="20"/>
        </w:rPr>
        <w:t xml:space="preserve">В соответствии с протоколом подведения итогов определения поставщика (подрядчика, исполнителя) от 27.06.2022 N ИЭА1 заявка участника признана несоответствующей требованиям извещения об осуществлении закупки по следующим основаниям:</w:t>
      </w:r>
    </w:p>
    <w:p>
      <w:pPr>
        <w:pStyle w:val="0"/>
        <w:spacing w:before="200" w:line-rule="auto"/>
        <w:ind w:firstLine="540"/>
        <w:jc w:val="both"/>
      </w:pPr>
      <w:r>
        <w:rPr>
          <w:sz w:val="20"/>
        </w:rPr>
        <w:t xml:space="preserve">"</w:t>
      </w:r>
      <w:r>
        <w:rPr>
          <w:sz w:val="20"/>
        </w:rPr>
        <w:t xml:space="preserve">п.3 ч. 12 ст. 48</w:t>
      </w:r>
      <w:r>
        <w:rPr>
          <w:sz w:val="20"/>
        </w:rPr>
        <w:t xml:space="preserve"> N 44-ФЗ - Несоответствие участника закупки требованиям, установленным в извещении об осуществлении закупки в соответствии с </w:t>
      </w:r>
      <w:r>
        <w:rPr>
          <w:sz w:val="20"/>
        </w:rPr>
        <w:t xml:space="preserve">ч. 1 ст. 31</w:t>
      </w:r>
      <w:r>
        <w:rPr>
          <w:sz w:val="20"/>
        </w:rPr>
        <w:t xml:space="preserve"> Закона N 44-ФЗ, требованиям, установленным в извещении об осуществлении закупки в соответствии с </w:t>
      </w:r>
      <w:r>
        <w:rPr>
          <w:sz w:val="20"/>
        </w:rPr>
        <w:t xml:space="preserve">ч. 1.1</w:t>
      </w:r>
      <w:r>
        <w:rPr>
          <w:sz w:val="20"/>
        </w:rPr>
        <w:t xml:space="preserve">, </w:t>
      </w:r>
      <w:r>
        <w:rPr>
          <w:sz w:val="20"/>
        </w:rPr>
        <w:t xml:space="preserve">2</w:t>
      </w:r>
      <w:r>
        <w:rPr>
          <w:sz w:val="20"/>
        </w:rPr>
        <w:t xml:space="preserve"> и </w:t>
      </w:r>
      <w:r>
        <w:rPr>
          <w:sz w:val="20"/>
        </w:rPr>
        <w:t xml:space="preserve">2.1 ст. 31</w:t>
      </w:r>
      <w:r>
        <w:rPr>
          <w:sz w:val="20"/>
        </w:rPr>
        <w:t xml:space="preserve"> Закона N 44-ФЗ".</w:t>
      </w:r>
    </w:p>
    <w:p>
      <w:pPr>
        <w:pStyle w:val="0"/>
        <w:spacing w:before="200" w:line-rule="auto"/>
        <w:ind w:firstLine="540"/>
        <w:jc w:val="both"/>
      </w:pPr>
      <w:r>
        <w:rPr>
          <w:sz w:val="20"/>
        </w:rPr>
        <w:t xml:space="preserve">В силу пп. 2 ч 1 </w:t>
      </w:r>
      <w:r>
        <w:rPr>
          <w:sz w:val="20"/>
        </w:rPr>
        <w:t xml:space="preserve">ст. 43</w:t>
      </w:r>
      <w:r>
        <w:rPr>
          <w:sz w:val="20"/>
        </w:rPr>
        <w:t xml:space="preserve"> Закона о контрактной системе для участия в конкурентном способе заявка на участие в закупке, если иное не предусмотрено </w:t>
      </w:r>
      <w:r>
        <w:rPr>
          <w:sz w:val="20"/>
        </w:rPr>
        <w:t xml:space="preserve">Законом</w:t>
      </w:r>
      <w:r>
        <w:rPr>
          <w:sz w:val="20"/>
        </w:rPr>
        <w:t xml:space="preserve"> о контрактной системе, должна содержать предложение участника закупки в отношении объекта закупки:</w:t>
      </w:r>
    </w:p>
    <w:p>
      <w:pPr>
        <w:pStyle w:val="0"/>
        <w:spacing w:before="200" w:line-rule="auto"/>
        <w:ind w:firstLine="540"/>
        <w:jc w:val="both"/>
      </w:pPr>
      <w:r>
        <w:rPr>
          <w:sz w:val="20"/>
        </w:rPr>
        <w:t xml:space="preserve">а) с учетом положений </w:t>
      </w:r>
      <w:r>
        <w:rPr>
          <w:sz w:val="20"/>
        </w:rPr>
        <w:t xml:space="preserve">ч. 2 ст. 43</w:t>
      </w:r>
      <w:r>
        <w:rPr>
          <w:sz w:val="20"/>
        </w:rPr>
        <w:t xml:space="preserve"> Закона о контрактной системе характеристики предлагаемого участником закупки товара, соответствующие показателям, установленным в описании объекта закупки в соответствии с </w:t>
      </w:r>
      <w:r>
        <w:rPr>
          <w:sz w:val="20"/>
        </w:rPr>
        <w:t xml:space="preserve">ч. 2 ст. 33</w:t>
      </w:r>
      <w:r>
        <w:rPr>
          <w:sz w:val="20"/>
        </w:rPr>
        <w:t xml:space="preserve"> Закона о контрактной системе, товарный знак (при наличии у товара товарного знака);</w:t>
      </w:r>
    </w:p>
    <w:p>
      <w:pPr>
        <w:pStyle w:val="0"/>
        <w:spacing w:before="200" w:line-rule="auto"/>
        <w:ind w:firstLine="540"/>
        <w:jc w:val="both"/>
      </w:pPr>
      <w:r>
        <w:rPr>
          <w:sz w:val="20"/>
        </w:rPr>
        <w:t xml:space="preserve">б) наименование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w:t>
      </w:r>
      <w:r>
        <w:rPr>
          <w:sz w:val="20"/>
        </w:rPr>
        <w:t xml:space="preserve">ч. 2 ст. 43</w:t>
      </w:r>
      <w:r>
        <w:rPr>
          <w:sz w:val="20"/>
        </w:rPr>
        <w:t xml:space="preserve"> Закона о контрактной системе;</w:t>
      </w:r>
    </w:p>
    <w:p>
      <w:pPr>
        <w:pStyle w:val="0"/>
        <w:spacing w:before="200" w:line-rule="auto"/>
        <w:ind w:firstLine="540"/>
        <w:jc w:val="both"/>
      </w:pPr>
      <w:r>
        <w:rPr>
          <w:sz w:val="20"/>
        </w:rPr>
        <w:t xml:space="preserve">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Федеральным </w:t>
      </w:r>
      <w:r>
        <w:rPr>
          <w:sz w:val="20"/>
        </w:rPr>
        <w:t xml:space="preserve">законом</w:t>
      </w:r>
      <w:r>
        <w:rPr>
          <w:sz w:val="20"/>
        </w:rPr>
        <w:t xml:space="preserve"> предусмотрена документация о закупке).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pPr>
        <w:pStyle w:val="0"/>
        <w:spacing w:before="200" w:line-rule="auto"/>
        <w:ind w:firstLine="540"/>
        <w:jc w:val="both"/>
      </w:pPr>
      <w:r>
        <w:rPr>
          <w:sz w:val="20"/>
        </w:rPr>
        <w:t xml:space="preserve">В соответствии с </w:t>
      </w:r>
      <w:r>
        <w:rPr>
          <w:sz w:val="20"/>
        </w:rPr>
        <w:t xml:space="preserve">п. 3 ч. 12 ст. 48</w:t>
      </w:r>
      <w:r>
        <w:rPr>
          <w:sz w:val="20"/>
        </w:rPr>
        <w:t xml:space="preserve"> Закона о контрактной системе при рассмотрении вторых частей заявок на участие в закупке соответствующая заявка подлежит отклонению в случае несоответствия участника закупки требованиям, установленным в извещении об осуществлении закупки в соответствии с </w:t>
      </w:r>
      <w:r>
        <w:rPr>
          <w:sz w:val="20"/>
        </w:rPr>
        <w:t xml:space="preserve">ч. 1 ст. 31</w:t>
      </w:r>
      <w:r>
        <w:rPr>
          <w:sz w:val="20"/>
        </w:rPr>
        <w:t xml:space="preserve"> Закона о контрактной системе, требованиям, установленным в извещении об осуществлении закупки в соответствии с </w:t>
      </w:r>
      <w:r>
        <w:rPr>
          <w:sz w:val="20"/>
        </w:rPr>
        <w:t xml:space="preserve">ч. 1.1</w:t>
      </w:r>
      <w:r>
        <w:rPr>
          <w:sz w:val="20"/>
        </w:rPr>
        <w:t xml:space="preserve">, </w:t>
      </w:r>
      <w:r>
        <w:rPr>
          <w:sz w:val="20"/>
        </w:rPr>
        <w:t xml:space="preserve">2</w:t>
      </w:r>
      <w:r>
        <w:rPr>
          <w:sz w:val="20"/>
        </w:rPr>
        <w:t xml:space="preserve"> и </w:t>
      </w:r>
      <w:r>
        <w:rPr>
          <w:sz w:val="20"/>
        </w:rPr>
        <w:t xml:space="preserve">2.1 (при наличии таких требований) ст. 31</w:t>
      </w:r>
      <w:r>
        <w:rPr>
          <w:sz w:val="20"/>
        </w:rPr>
        <w:t xml:space="preserve"> </w:t>
      </w:r>
      <w:r>
        <w:rPr>
          <w:sz w:val="20"/>
        </w:rPr>
        <w:t xml:space="preserve">ст. 31</w:t>
      </w:r>
      <w:r>
        <w:rPr>
          <w:sz w:val="20"/>
        </w:rPr>
        <w:t xml:space="preserve"> Закона о контрактной системе.</w:t>
      </w:r>
    </w:p>
    <w:p>
      <w:pPr>
        <w:pStyle w:val="0"/>
        <w:spacing w:before="200" w:line-rule="auto"/>
        <w:ind w:firstLine="540"/>
        <w:jc w:val="both"/>
      </w:pPr>
      <w:r>
        <w:rPr>
          <w:sz w:val="20"/>
        </w:rPr>
        <w:t xml:space="preserve">В соответствии с </w:t>
      </w:r>
      <w:r>
        <w:rPr>
          <w:sz w:val="20"/>
        </w:rPr>
        <w:t xml:space="preserve">пп. а) п. 1 ч. 5 ст. 49</w:t>
      </w:r>
      <w:r>
        <w:rPr>
          <w:sz w:val="20"/>
        </w:rPr>
        <w:t xml:space="preserve"> Закона о контрактной системе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 члены комиссии по осуществлению закупок рассматривают заявки на участие в закупке, информацию и документы, направленные оператором электронной площадки в соответствии с </w:t>
      </w:r>
      <w:r>
        <w:rPr>
          <w:sz w:val="20"/>
        </w:rPr>
        <w:t xml:space="preserve">п. 4 ч. 4 ст. 49</w:t>
      </w:r>
      <w:r>
        <w:rPr>
          <w:sz w:val="20"/>
        </w:rPr>
        <w:t xml:space="preserve"> Закон о контрактной системе,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r>
        <w:rPr>
          <w:sz w:val="20"/>
        </w:rPr>
        <w:t xml:space="preserve">п. п. 1</w:t>
      </w:r>
      <w:r>
        <w:rPr>
          <w:sz w:val="20"/>
        </w:rPr>
        <w:t xml:space="preserve"> - </w:t>
      </w:r>
      <w:r>
        <w:rPr>
          <w:sz w:val="20"/>
        </w:rPr>
        <w:t xml:space="preserve">8 ч. 12 ст. 48</w:t>
      </w:r>
      <w:r>
        <w:rPr>
          <w:sz w:val="20"/>
        </w:rPr>
        <w:t xml:space="preserve"> Закона о контрактной системе.</w:t>
      </w:r>
    </w:p>
    <w:p>
      <w:pPr>
        <w:pStyle w:val="0"/>
        <w:spacing w:before="200" w:line-rule="auto"/>
        <w:ind w:firstLine="540"/>
        <w:jc w:val="both"/>
      </w:pPr>
      <w:r>
        <w:rPr>
          <w:sz w:val="20"/>
        </w:rPr>
        <w:t xml:space="preserve">На заседании Комиссии УФАС установлено, что информация о Заявителе под номером N Р2210763 внесена в реестр недобросовестных поставщиков (подрядчиков, исполнителей), ведение которого предусмотрено Федеральным </w:t>
      </w:r>
      <w:r>
        <w:rPr>
          <w:sz w:val="20"/>
        </w:rPr>
        <w:t xml:space="preserve">законом</w:t>
      </w:r>
      <w:r>
        <w:rPr>
          <w:sz w:val="20"/>
        </w:rPr>
        <w:t xml:space="preserve"> N 223-ФЗ "О закупках товаров, работ, услуг отдельными видами юридических лиц" (далее - Федеральный закон N 223-ФЗ), при этом правила ведения реестра недобросовестных поставщиков по Федеральному закону N 223-ФЗ определены </w:t>
      </w:r>
      <w:r>
        <w:rPr>
          <w:sz w:val="20"/>
        </w:rPr>
        <w:t xml:space="preserve">Постановлением</w:t>
      </w:r>
      <w:r>
        <w:rPr>
          <w:sz w:val="20"/>
        </w:rPr>
        <w:t xml:space="preserve"> Правительства Российской Федерации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pPr>
        <w:pStyle w:val="0"/>
        <w:spacing w:before="200" w:line-rule="auto"/>
        <w:ind w:firstLine="540"/>
        <w:jc w:val="both"/>
      </w:pPr>
      <w:r>
        <w:rPr>
          <w:sz w:val="20"/>
        </w:rPr>
        <w:t xml:space="preserve">Вместе с тем в соответствии с </w:t>
      </w:r>
      <w:r>
        <w:rPr>
          <w:sz w:val="20"/>
        </w:rPr>
        <w:t xml:space="preserve">Законом</w:t>
      </w:r>
      <w:r>
        <w:rPr>
          <w:sz w:val="20"/>
        </w:rPr>
        <w:t xml:space="preserve"> о контрактной системе осуществляется ведение реестра недобросовестных поставщиков в соответствии со </w:t>
      </w:r>
      <w:r>
        <w:rPr>
          <w:sz w:val="20"/>
        </w:rPr>
        <w:t xml:space="preserve">статьей 104</w:t>
      </w:r>
      <w:r>
        <w:rPr>
          <w:sz w:val="20"/>
        </w:rPr>
        <w:t xml:space="preserve"> Закона о контрактной системе и </w:t>
      </w:r>
      <w:r>
        <w:rPr>
          <w:sz w:val="20"/>
        </w:rPr>
        <w:t xml:space="preserve">Постановлением</w:t>
      </w:r>
      <w:r>
        <w:rPr>
          <w:sz w:val="20"/>
        </w:rPr>
        <w:t xml:space="preserve"> Правительства Российской Федерации от 25.11.2013 N 1062 "О порядке ведения реестра недобросовестных поставщиков (подрядчиков, исполнителей)".</w:t>
      </w:r>
    </w:p>
    <w:p>
      <w:pPr>
        <w:pStyle w:val="0"/>
        <w:spacing w:before="200" w:line-rule="auto"/>
        <w:ind w:firstLine="540"/>
        <w:jc w:val="both"/>
      </w:pPr>
      <w:r>
        <w:rPr>
          <w:sz w:val="20"/>
        </w:rPr>
        <w:t xml:space="preserve">Таким образом, законодательством Российской Федерации предусмотрено ведение двух реестров недобросовестных поставщиков. При этом согласно </w:t>
      </w:r>
      <w:r>
        <w:rPr>
          <w:sz w:val="20"/>
        </w:rPr>
        <w:t xml:space="preserve">части 1.1 ст. 31</w:t>
      </w:r>
      <w:r>
        <w:rPr>
          <w:sz w:val="20"/>
        </w:rPr>
        <w:t xml:space="preserve"> Закона о контрактной системе Заказчик вправе установить требование об отсутствии в предусмотренном </w:t>
      </w:r>
      <w:r>
        <w:rPr>
          <w:sz w:val="20"/>
        </w:rPr>
        <w:t xml:space="preserve">Законом</w:t>
      </w:r>
      <w:r>
        <w:rPr>
          <w:sz w:val="20"/>
        </w:rPr>
        <w:t xml:space="preserve"> о контрактной системе реестре недобросовестных поставщиков (подрядчиков, исполнителей) информации об участнике закупки.</w:t>
      </w:r>
    </w:p>
    <w:p>
      <w:pPr>
        <w:pStyle w:val="0"/>
        <w:spacing w:before="200" w:line-rule="auto"/>
        <w:ind w:firstLine="540"/>
        <w:jc w:val="both"/>
      </w:pPr>
      <w:r>
        <w:rPr>
          <w:sz w:val="20"/>
        </w:rPr>
        <w:t xml:space="preserve">Сведения о СПб ГБУЗ "П" в реестре недобросовестных поставщиков, предусмотренном </w:t>
      </w:r>
      <w:r>
        <w:rPr>
          <w:sz w:val="20"/>
        </w:rPr>
        <w:t xml:space="preserve">Законом</w:t>
      </w:r>
      <w:r>
        <w:rPr>
          <w:sz w:val="20"/>
        </w:rPr>
        <w:t xml:space="preserve"> о контрактной системе, отсутствуют.</w:t>
      </w:r>
    </w:p>
    <w:p>
      <w:pPr>
        <w:pStyle w:val="0"/>
        <w:spacing w:before="200" w:line-rule="auto"/>
        <w:ind w:firstLine="540"/>
        <w:jc w:val="both"/>
      </w:pPr>
      <w:r>
        <w:rPr>
          <w:sz w:val="20"/>
        </w:rPr>
        <w:t xml:space="preserve">На основании изложенного, Комиссия УФАС приходит к выводу, что аукционная комиссия Заказчика не имела достаточных оснований для признания заявки Заявителя несоответствующей требованиям извещения об осуществлении закупки.</w:t>
      </w:r>
    </w:p>
    <w:p>
      <w:pPr>
        <w:pStyle w:val="0"/>
        <w:spacing w:before="200" w:line-rule="auto"/>
        <w:ind w:firstLine="540"/>
        <w:jc w:val="both"/>
      </w:pPr>
      <w:r>
        <w:rPr>
          <w:sz w:val="20"/>
        </w:rPr>
        <w:t xml:space="preserve">Комиссия УФАС, руководствуясь </w:t>
      </w:r>
      <w:r>
        <w:rPr>
          <w:sz w:val="20"/>
        </w:rPr>
        <w:t xml:space="preserve">ст. 8</w:t>
      </w:r>
      <w:r>
        <w:rPr>
          <w:sz w:val="20"/>
        </w:rPr>
        <w:t xml:space="preserve">, </w:t>
      </w:r>
      <w:r>
        <w:rPr>
          <w:sz w:val="20"/>
        </w:rPr>
        <w:t xml:space="preserve">31</w:t>
      </w:r>
      <w:r>
        <w:rPr>
          <w:sz w:val="20"/>
        </w:rPr>
        <w:t xml:space="preserve">, </w:t>
      </w:r>
      <w:r>
        <w:rPr>
          <w:sz w:val="20"/>
        </w:rPr>
        <w:t xml:space="preserve">33</w:t>
      </w:r>
      <w:r>
        <w:rPr>
          <w:sz w:val="20"/>
        </w:rPr>
        <w:t xml:space="preserve">, </w:t>
      </w:r>
      <w:r>
        <w:rPr>
          <w:sz w:val="20"/>
        </w:rPr>
        <w:t xml:space="preserve">42</w:t>
      </w:r>
      <w:r>
        <w:rPr>
          <w:sz w:val="20"/>
        </w:rPr>
        <w:t xml:space="preserve">, </w:t>
      </w:r>
      <w:r>
        <w:rPr>
          <w:sz w:val="20"/>
        </w:rPr>
        <w:t xml:space="preserve">99</w:t>
      </w:r>
      <w:r>
        <w:rPr>
          <w:sz w:val="20"/>
        </w:rPr>
        <w:t xml:space="preserve">, </w:t>
      </w:r>
      <w:r>
        <w:rPr>
          <w:sz w:val="20"/>
        </w:rPr>
        <w:t xml:space="preserve">106</w:t>
      </w:r>
      <w:r>
        <w:rPr>
          <w:sz w:val="20"/>
        </w:rPr>
        <w:t xml:space="preserve"> Закона о контрактной системе, Административным </w:t>
      </w:r>
      <w:r>
        <w:rPr>
          <w:sz w:val="20"/>
        </w:rPr>
        <w:t xml:space="preserve">регламентом</w:t>
      </w:r>
      <w:r>
        <w:rPr>
          <w:sz w:val="20"/>
        </w:rPr>
        <w:t xml:space="preserve">,</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СПб ГБУЗ "П" обоснованной.</w:t>
      </w:r>
    </w:p>
    <w:p>
      <w:pPr>
        <w:pStyle w:val="0"/>
        <w:spacing w:before="200" w:line-rule="auto"/>
        <w:ind w:firstLine="540"/>
        <w:jc w:val="both"/>
      </w:pPr>
      <w:r>
        <w:rPr>
          <w:sz w:val="20"/>
        </w:rPr>
        <w:t xml:space="preserve">2. Признать в действиях аукционной комиссии Заказчика нарушение </w:t>
      </w:r>
      <w:r>
        <w:rPr>
          <w:sz w:val="20"/>
        </w:rPr>
        <w:t xml:space="preserve">пп. а) п. 1 ч. 5 ст. 49</w:t>
      </w:r>
      <w:r>
        <w:rPr>
          <w:sz w:val="20"/>
        </w:rPr>
        <w:t xml:space="preserve"> Закона о контрактной системе.</w:t>
      </w:r>
    </w:p>
    <w:p>
      <w:pPr>
        <w:pStyle w:val="0"/>
        <w:spacing w:before="200" w:line-rule="auto"/>
        <w:ind w:firstLine="540"/>
        <w:jc w:val="both"/>
      </w:pPr>
      <w:r>
        <w:rPr>
          <w:sz w:val="20"/>
        </w:rPr>
        <w:t xml:space="preserve">3. Выдать Заказчику, его аукционной комиссии и оператору электронной площадки обязательное для исполнения </w:t>
      </w:r>
      <w:r>
        <w:rPr>
          <w:sz w:val="20"/>
        </w:rPr>
        <w:t xml:space="preserve">предписание</w:t>
      </w:r>
      <w:r>
        <w:rPr>
          <w:sz w:val="20"/>
        </w:rPr>
        <w:t xml:space="preserve"> об устранении выявленных нарушений законодательства о контрактной системе.</w:t>
      </w:r>
    </w:p>
    <w:p>
      <w:pPr>
        <w:pStyle w:val="0"/>
        <w:spacing w:before="200" w:line-rule="auto"/>
        <w:ind w:firstLine="540"/>
        <w:jc w:val="both"/>
      </w:pPr>
      <w:r>
        <w:rPr>
          <w:sz w:val="20"/>
        </w:rPr>
        <w:t xml:space="preserve">4. Передать материалы дела уполномоченному должностному лицу для рассмотрения вопроса о возбуждении дела об административном правонарушении в отношении должностного лица Заказчика.</w:t>
      </w:r>
    </w:p>
    <w:p>
      <w:pPr>
        <w:pStyle w:val="0"/>
        <w:spacing w:before="200" w:line-rule="auto"/>
        <w:ind w:firstLine="540"/>
        <w:jc w:val="both"/>
      </w:pPr>
      <w:r>
        <w:rPr>
          <w:sz w:val="20"/>
        </w:rPr>
        <w:t xml:space="preserve">Настоящее решение может быть обжаловано в судебном порядке в течение трех месяцев со дня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Санкт-Петербургского УФАС России от 05.07.2022 по делу N 44-2021/22
Нарушение: пп. а) п. 1 ч. 5 ст. 49 Закона о контрактной системе.
Решение: Признать жалобу обоснованной; выдать предписание об устранении нарушений; передать материалы дела должностному лицу для решения вопроса о возбуждении дела об административном правонарушении.</dc:title>
  <dcterms:created xsi:type="dcterms:W3CDTF">2022-10-03T09:27:17Z</dcterms:created>
</cp:coreProperties>
</file>